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A39E" w14:textId="7D981F3C" w:rsidR="00427A47" w:rsidRPr="00427A47" w:rsidRDefault="00427A47" w:rsidP="00427A47">
      <w:pPr>
        <w:pStyle w:val="NormalWeb"/>
        <w:jc w:val="center"/>
        <w:rPr>
          <w:sz w:val="32"/>
          <w:szCs w:val="32"/>
        </w:rPr>
      </w:pPr>
      <w:r w:rsidRPr="00427A47">
        <w:rPr>
          <w:rStyle w:val="Textoennegrita"/>
          <w:sz w:val="32"/>
          <w:szCs w:val="32"/>
        </w:rPr>
        <w:t xml:space="preserve">Política de </w:t>
      </w:r>
      <w:r w:rsidR="009C6548">
        <w:rPr>
          <w:rStyle w:val="Textoennegrita"/>
          <w:sz w:val="32"/>
          <w:szCs w:val="32"/>
        </w:rPr>
        <w:t>c</w:t>
      </w:r>
      <w:r w:rsidRPr="00427A47">
        <w:rPr>
          <w:rStyle w:val="Textoennegrita"/>
          <w:sz w:val="32"/>
          <w:szCs w:val="32"/>
        </w:rPr>
        <w:t xml:space="preserve">orreos </w:t>
      </w:r>
      <w:r w:rsidR="009C6548">
        <w:rPr>
          <w:rStyle w:val="Textoennegrita"/>
          <w:sz w:val="32"/>
          <w:szCs w:val="32"/>
        </w:rPr>
        <w:t>e</w:t>
      </w:r>
      <w:r w:rsidRPr="00427A47">
        <w:rPr>
          <w:rStyle w:val="Textoennegrita"/>
          <w:sz w:val="32"/>
          <w:szCs w:val="32"/>
        </w:rPr>
        <w:t xml:space="preserve">lectrónicos </w:t>
      </w:r>
      <w:r w:rsidR="009C6548">
        <w:rPr>
          <w:rStyle w:val="Textoennegrita"/>
          <w:sz w:val="32"/>
          <w:szCs w:val="32"/>
        </w:rPr>
        <w:t>i</w:t>
      </w:r>
      <w:r w:rsidRPr="00427A47">
        <w:rPr>
          <w:rStyle w:val="Textoennegrita"/>
          <w:sz w:val="32"/>
          <w:szCs w:val="32"/>
        </w:rPr>
        <w:t>nstitucionales</w:t>
      </w:r>
    </w:p>
    <w:p w14:paraId="7935C2BB" w14:textId="77777777" w:rsidR="00427A47" w:rsidRDefault="00427A47" w:rsidP="00427A47">
      <w:pPr>
        <w:pStyle w:val="NormalWeb"/>
      </w:pPr>
      <w:r>
        <w:rPr>
          <w:rStyle w:val="Textoennegrita"/>
        </w:rPr>
        <w:t>1. Introducción</w:t>
      </w:r>
    </w:p>
    <w:p w14:paraId="1E7C7413" w14:textId="76BDE937" w:rsidR="00427A47" w:rsidRDefault="00427A47" w:rsidP="00427A47">
      <w:pPr>
        <w:pStyle w:val="NormalWeb"/>
        <w:jc w:val="both"/>
      </w:pPr>
      <w:r>
        <w:t xml:space="preserve">La política de correos electrónicos institucionales de </w:t>
      </w:r>
      <w:r>
        <w:t>la delegación</w:t>
      </w:r>
      <w:r>
        <w:t xml:space="preserve"> tiene como objetivo establecer directrices claras para el uso de los servicios de correo electrónico por parte de los empleados y representantes de la organización. El correo electrónico es una herramienta de comunicación esencial que requiere responsabilidad y consideración para garantizar su eficacia y seguridad.</w:t>
      </w:r>
    </w:p>
    <w:p w14:paraId="277DC55C" w14:textId="77777777" w:rsidR="00427A47" w:rsidRDefault="00427A47" w:rsidP="00427A47">
      <w:pPr>
        <w:pStyle w:val="NormalWeb"/>
      </w:pPr>
      <w:r>
        <w:rPr>
          <w:rStyle w:val="Textoennegrita"/>
        </w:rPr>
        <w:t>2. Propósito</w:t>
      </w:r>
    </w:p>
    <w:p w14:paraId="1F0926B4" w14:textId="77777777" w:rsidR="00427A47" w:rsidRDefault="00427A47" w:rsidP="00427A47">
      <w:pPr>
        <w:pStyle w:val="NormalWeb"/>
      </w:pPr>
      <w:r>
        <w:t>El propósito de esta política es:</w:t>
      </w:r>
    </w:p>
    <w:p w14:paraId="3D1E776C" w14:textId="77777777" w:rsidR="00427A47" w:rsidRDefault="00427A47" w:rsidP="00427A47">
      <w:pPr>
        <w:pStyle w:val="NormalWeb"/>
      </w:pPr>
      <w:r>
        <w:t>2.1. Promover un uso efectivo y eficiente del correo electrónico como herramienta de comunicación en el ámbito institucional.</w:t>
      </w:r>
    </w:p>
    <w:p w14:paraId="54D82E45" w14:textId="77777777" w:rsidR="00427A47" w:rsidRDefault="00427A47" w:rsidP="00427A47">
      <w:pPr>
        <w:pStyle w:val="NormalWeb"/>
      </w:pPr>
      <w:r>
        <w:t>2.2. Establecer pautas para garantizar la seguridad y la confidencialidad de la información transmitida por correo electrónico.</w:t>
      </w:r>
    </w:p>
    <w:p w14:paraId="0473E436" w14:textId="77777777" w:rsidR="00427A47" w:rsidRDefault="00427A47" w:rsidP="00427A47">
      <w:pPr>
        <w:pStyle w:val="NormalWeb"/>
      </w:pPr>
      <w:r>
        <w:t>2.3. Definir las responsabilidades de los usuarios en relación con el correo electrónico institucional.</w:t>
      </w:r>
    </w:p>
    <w:p w14:paraId="6D06A89B" w14:textId="77777777" w:rsidR="00427A47" w:rsidRDefault="00427A47" w:rsidP="00427A47">
      <w:pPr>
        <w:pStyle w:val="NormalWeb"/>
      </w:pPr>
      <w:r>
        <w:rPr>
          <w:rStyle w:val="Textoennegrita"/>
        </w:rPr>
        <w:t>3. Responsabilidades</w:t>
      </w:r>
    </w:p>
    <w:p w14:paraId="1B1C1079" w14:textId="7957165F" w:rsidR="00D17BE1" w:rsidRDefault="00D17BE1" w:rsidP="00427A47">
      <w:pPr>
        <w:pStyle w:val="NormalWeb"/>
        <w:rPr>
          <w:rStyle w:val="Textoennegrita"/>
        </w:rPr>
      </w:pPr>
      <w:r>
        <w:rPr>
          <w:rStyle w:val="Textoennegrita"/>
        </w:rPr>
        <w:t>Delegaciones:</w:t>
      </w:r>
    </w:p>
    <w:p w14:paraId="7B119EF3" w14:textId="349D2AA2" w:rsidR="00D17BE1" w:rsidRPr="00D17BE1" w:rsidRDefault="00D17BE1" w:rsidP="00427A47">
      <w:pPr>
        <w:pStyle w:val="NormalWeb"/>
        <w:rPr>
          <w:rStyle w:val="Textoennegrita"/>
          <w:b w:val="0"/>
          <w:bCs w:val="0"/>
        </w:rPr>
      </w:pPr>
      <w:r>
        <w:t>Las delegaciones deben de utilizar en sus cuentas de correos electrónicos dominios oficiales relacionados con sus sitios web y evitar utilizar cuentas gratuitas como @hotmail, @gmail para la comunicación corporativa.</w:t>
      </w:r>
    </w:p>
    <w:p w14:paraId="130E145E" w14:textId="3043262B" w:rsidR="00427A47" w:rsidRDefault="00427A47" w:rsidP="00427A47">
      <w:pPr>
        <w:pStyle w:val="NormalWeb"/>
        <w:rPr>
          <w:rStyle w:val="Textoennegrita"/>
        </w:rPr>
      </w:pPr>
      <w:r>
        <w:rPr>
          <w:rStyle w:val="Textoennegrita"/>
        </w:rPr>
        <w:t>Usuarios:</w:t>
      </w:r>
    </w:p>
    <w:p w14:paraId="337F3CF8" w14:textId="1E301EB6" w:rsidR="00427A47" w:rsidRDefault="00427A47" w:rsidP="00427A47">
      <w:pPr>
        <w:pStyle w:val="NormalWeb"/>
      </w:pPr>
      <w:r>
        <w:t>Los empleados y representantes de la organización son responsables de utilizar el correo electrónico de manera adecuada, cumplir con esta política y ser conscientes de la seguridad de la información.</w:t>
      </w:r>
    </w:p>
    <w:p w14:paraId="720BAE12" w14:textId="77777777" w:rsidR="00427A47" w:rsidRDefault="00427A47" w:rsidP="00427A47">
      <w:pPr>
        <w:pStyle w:val="NormalWeb"/>
      </w:pPr>
      <w:r>
        <w:rPr>
          <w:rStyle w:val="Textoennegrita"/>
        </w:rPr>
        <w:t>Departamento de TI:</w:t>
      </w:r>
      <w:r>
        <w:t xml:space="preserve"> </w:t>
      </w:r>
    </w:p>
    <w:p w14:paraId="3352B6E8" w14:textId="5C318016" w:rsidR="00427A47" w:rsidRDefault="00427A47" w:rsidP="00427A47">
      <w:pPr>
        <w:pStyle w:val="NormalWeb"/>
      </w:pPr>
      <w:r>
        <w:t>El equipo de tecnologías de la información es responsable de administrar y mantener el sistema de correo electrónico, implementar medidas de seguridad y brindar soporte técnico.</w:t>
      </w:r>
    </w:p>
    <w:p w14:paraId="371483CD" w14:textId="77777777" w:rsidR="00D17BE1" w:rsidRDefault="00D17BE1" w:rsidP="00427A47">
      <w:pPr>
        <w:pStyle w:val="NormalWeb"/>
      </w:pPr>
    </w:p>
    <w:p w14:paraId="10FAC44B" w14:textId="77777777" w:rsidR="00D17BE1" w:rsidRDefault="00D17BE1" w:rsidP="00427A47">
      <w:pPr>
        <w:pStyle w:val="NormalWeb"/>
      </w:pPr>
    </w:p>
    <w:p w14:paraId="32917036" w14:textId="77777777" w:rsidR="00D17BE1" w:rsidRDefault="00D17BE1" w:rsidP="00427A47">
      <w:pPr>
        <w:pStyle w:val="NormalWeb"/>
      </w:pPr>
    </w:p>
    <w:p w14:paraId="073FC0B2" w14:textId="77777777" w:rsidR="00427A47" w:rsidRDefault="00427A47" w:rsidP="00427A47">
      <w:pPr>
        <w:pStyle w:val="NormalWeb"/>
      </w:pPr>
      <w:r>
        <w:rPr>
          <w:rStyle w:val="Textoennegrita"/>
        </w:rPr>
        <w:lastRenderedPageBreak/>
        <w:t>4. Uso Adecuado</w:t>
      </w:r>
    </w:p>
    <w:p w14:paraId="33D01B0C" w14:textId="0E8A9D2B" w:rsidR="00427A47" w:rsidRDefault="00427A47" w:rsidP="00427A47">
      <w:pPr>
        <w:pStyle w:val="NormalWeb"/>
      </w:pPr>
      <w:r>
        <w:t>4.1. Los correos electrónicos institucionales deben utilizarse para comunicaciones relacionadas con el trabajo y tareas oficiales. El uso personal debe mantenerse al mínimo y seguir las directrices de la organizac</w:t>
      </w:r>
      <w:r>
        <w:t>ión</w:t>
      </w:r>
      <w:r>
        <w:t>.</w:t>
      </w:r>
    </w:p>
    <w:p w14:paraId="73394216" w14:textId="108A89C8" w:rsidR="00427A47" w:rsidRPr="00D17BE1" w:rsidRDefault="00427A47" w:rsidP="00427A47">
      <w:pPr>
        <w:pStyle w:val="NormalWeb"/>
        <w:rPr>
          <w:rStyle w:val="Textoennegrita"/>
          <w:b w:val="0"/>
          <w:bCs w:val="0"/>
        </w:rPr>
      </w:pPr>
      <w:r>
        <w:t>4.2. No se permite el envío de correos electrónicos no solicitados (spam) o correos electrónicos que violen las leyes y regulaciones aplicables.</w:t>
      </w:r>
    </w:p>
    <w:p w14:paraId="10203C94" w14:textId="7E433445" w:rsidR="00427A47" w:rsidRDefault="00427A47" w:rsidP="00427A47">
      <w:pPr>
        <w:pStyle w:val="NormalWeb"/>
      </w:pPr>
      <w:r>
        <w:rPr>
          <w:rStyle w:val="Textoennegrita"/>
        </w:rPr>
        <w:t>5. Seguridad de la Información</w:t>
      </w:r>
    </w:p>
    <w:p w14:paraId="3FC0AE84" w14:textId="77777777" w:rsidR="00427A47" w:rsidRDefault="00427A47" w:rsidP="00427A47">
      <w:pPr>
        <w:pStyle w:val="NormalWeb"/>
      </w:pPr>
      <w:r>
        <w:t>5.1. Los usuarios deben proteger sus credenciales de correo electrónico y no compartirlas con terceros.</w:t>
      </w:r>
    </w:p>
    <w:p w14:paraId="5DF3D2FF" w14:textId="77777777" w:rsidR="00427A47" w:rsidRDefault="00427A47" w:rsidP="00427A47">
      <w:pPr>
        <w:pStyle w:val="NormalWeb"/>
      </w:pPr>
      <w:r>
        <w:t>5.2. Los datos confidenciales o sensibles no deben enviarse por correo electrónico sin cifrar adecuadamente.</w:t>
      </w:r>
    </w:p>
    <w:p w14:paraId="6DF260B1" w14:textId="77777777" w:rsidR="00427A47" w:rsidRDefault="00427A47" w:rsidP="00427A47">
      <w:pPr>
        <w:pStyle w:val="NormalWeb"/>
      </w:pPr>
      <w:r>
        <w:t>5.3. Los usuarios deben ser conscientes de las amenazas de phishing y seguir prácticas seguras para evitar caer en trampas de seguridad.</w:t>
      </w:r>
    </w:p>
    <w:p w14:paraId="06746143" w14:textId="77777777" w:rsidR="00427A47" w:rsidRDefault="00427A47" w:rsidP="00427A47">
      <w:pPr>
        <w:pStyle w:val="NormalWeb"/>
      </w:pPr>
      <w:r>
        <w:rPr>
          <w:rStyle w:val="Textoennegrita"/>
        </w:rPr>
        <w:t>6. Retención y Eliminación de Correos Electrónicos</w:t>
      </w:r>
    </w:p>
    <w:p w14:paraId="39C3FDAA" w14:textId="506999EF" w:rsidR="00427A47" w:rsidRDefault="00427A47" w:rsidP="00427A47">
      <w:pPr>
        <w:pStyle w:val="NormalWeb"/>
      </w:pPr>
      <w:r>
        <w:t xml:space="preserve">6.1. La organización </w:t>
      </w:r>
      <w:r>
        <w:t>debe</w:t>
      </w:r>
      <w:r>
        <w:t xml:space="preserve"> establecer políticas de retención de correos electrónicos para garantizar el cumplimiento de las regulaciones y la eficiencia operativa.</w:t>
      </w:r>
    </w:p>
    <w:p w14:paraId="2EE730AF" w14:textId="77777777" w:rsidR="00427A47" w:rsidRDefault="00427A47" w:rsidP="00427A47">
      <w:pPr>
        <w:pStyle w:val="NormalWeb"/>
      </w:pPr>
      <w:r>
        <w:rPr>
          <w:rStyle w:val="Textoennegrita"/>
        </w:rPr>
        <w:t>7. Cumplimiento Legal y Regulatorio</w:t>
      </w:r>
    </w:p>
    <w:p w14:paraId="76437FD0" w14:textId="77777777" w:rsidR="00427A47" w:rsidRDefault="00427A47" w:rsidP="00427A47">
      <w:pPr>
        <w:pStyle w:val="NormalWeb"/>
      </w:pPr>
      <w:r>
        <w:t>7.1. Los usuarios deben cumplir con todas las regulaciones legales y regulaciones de privacidad de datos aplicables al enviar y recibir correos electrónicos.</w:t>
      </w:r>
    </w:p>
    <w:p w14:paraId="168B5164" w14:textId="77777777" w:rsidR="00427A47" w:rsidRDefault="00427A47" w:rsidP="00427A47">
      <w:pPr>
        <w:pStyle w:val="NormalWeb"/>
      </w:pPr>
      <w:r>
        <w:rPr>
          <w:rStyle w:val="Textoennegrita"/>
        </w:rPr>
        <w:t>8. Auditorías y Monitoreo</w:t>
      </w:r>
    </w:p>
    <w:p w14:paraId="79BE227F" w14:textId="77777777" w:rsidR="00427A47" w:rsidRDefault="00427A47" w:rsidP="00427A47">
      <w:pPr>
        <w:pStyle w:val="NormalWeb"/>
      </w:pPr>
      <w:r>
        <w:t>8.1. La organización se reserva el derecho de realizar auditorías y monitorear el uso del correo electrónico para garantizar el cumplimiento de esta política y la seguridad de la información.</w:t>
      </w:r>
    </w:p>
    <w:p w14:paraId="0E3E52AF" w14:textId="620515F4" w:rsidR="00427A47" w:rsidRDefault="00D17BE1" w:rsidP="00427A47">
      <w:pPr>
        <w:pStyle w:val="NormalWeb"/>
      </w:pPr>
      <w:r>
        <w:rPr>
          <w:rStyle w:val="Textoennegrita"/>
        </w:rPr>
        <w:t>9</w:t>
      </w:r>
      <w:r w:rsidR="00427A47">
        <w:rPr>
          <w:rStyle w:val="Textoennegrita"/>
        </w:rPr>
        <w:t>. Sanciones</w:t>
      </w:r>
    </w:p>
    <w:p w14:paraId="07F6B076" w14:textId="77777777" w:rsidR="00427A47" w:rsidRDefault="00427A47" w:rsidP="00427A47">
      <w:pPr>
        <w:pStyle w:val="NormalWeb"/>
      </w:pPr>
      <w:r>
        <w:t>9.1. El incumplimiento de esta política puede dar lugar a medidas disciplinarias, que pueden incluir la suspensión o la terminación del acceso al correo electrónico institucional.</w:t>
      </w:r>
    </w:p>
    <w:p w14:paraId="5ED78BA7" w14:textId="77777777" w:rsidR="00922E82" w:rsidRDefault="00922E82" w:rsidP="002B46F4">
      <w:pPr>
        <w:autoSpaceDE w:val="0"/>
        <w:autoSpaceDN w:val="0"/>
        <w:adjustRightInd w:val="0"/>
        <w:jc w:val="both"/>
        <w:rPr>
          <w:rFonts w:ascii="Century Gothic" w:hAnsi="Century Gothic" w:cs="CIDFont+F2"/>
          <w:sz w:val="19"/>
          <w:szCs w:val="19"/>
        </w:rPr>
      </w:pPr>
    </w:p>
    <w:sectPr w:rsidR="00922E82" w:rsidSect="009F297F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4F95" w14:textId="77777777" w:rsidR="00FE350A" w:rsidRDefault="00FE350A" w:rsidP="005649C7">
      <w:r>
        <w:separator/>
      </w:r>
    </w:p>
  </w:endnote>
  <w:endnote w:type="continuationSeparator" w:id="0">
    <w:p w14:paraId="447DA862" w14:textId="77777777" w:rsidR="00FE350A" w:rsidRDefault="00FE350A" w:rsidP="005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A3E3" w14:textId="77777777" w:rsidR="00FE350A" w:rsidRDefault="00FE350A" w:rsidP="005649C7">
      <w:r>
        <w:separator/>
      </w:r>
    </w:p>
  </w:footnote>
  <w:footnote w:type="continuationSeparator" w:id="0">
    <w:p w14:paraId="3EC1E5CC" w14:textId="77777777" w:rsidR="00FE350A" w:rsidRDefault="00FE350A" w:rsidP="0056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88BC" w14:textId="77777777" w:rsidR="005649C7" w:rsidRDefault="00160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C844F5" wp14:editId="3A0A49A4">
          <wp:simplePos x="0" y="0"/>
          <wp:positionH relativeFrom="margin">
            <wp:posOffset>-1053465</wp:posOffset>
          </wp:positionH>
          <wp:positionV relativeFrom="margin">
            <wp:posOffset>-873125</wp:posOffset>
          </wp:positionV>
          <wp:extent cx="7731760" cy="10005695"/>
          <wp:effectExtent l="0" t="0" r="2540" b="1905"/>
          <wp:wrapNone/>
          <wp:docPr id="2" name="Imagen 2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60" cy="1000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C6D"/>
    <w:multiLevelType w:val="hybridMultilevel"/>
    <w:tmpl w:val="8BAE22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023"/>
    <w:multiLevelType w:val="hybridMultilevel"/>
    <w:tmpl w:val="C5B66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DA2"/>
    <w:multiLevelType w:val="multilevel"/>
    <w:tmpl w:val="EB0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34120"/>
    <w:multiLevelType w:val="multilevel"/>
    <w:tmpl w:val="48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74D17"/>
    <w:multiLevelType w:val="multilevel"/>
    <w:tmpl w:val="61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6E7E"/>
    <w:multiLevelType w:val="multilevel"/>
    <w:tmpl w:val="72D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32836"/>
    <w:multiLevelType w:val="hybridMultilevel"/>
    <w:tmpl w:val="821A7E62"/>
    <w:lvl w:ilvl="0" w:tplc="BCEC4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EF2"/>
    <w:multiLevelType w:val="hybridMultilevel"/>
    <w:tmpl w:val="DE562D6C"/>
    <w:lvl w:ilvl="0" w:tplc="ADA653D8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81D8A"/>
    <w:multiLevelType w:val="multilevel"/>
    <w:tmpl w:val="E0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62DC0"/>
    <w:multiLevelType w:val="multilevel"/>
    <w:tmpl w:val="D7F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34117"/>
    <w:multiLevelType w:val="multilevel"/>
    <w:tmpl w:val="C7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654A"/>
    <w:multiLevelType w:val="multilevel"/>
    <w:tmpl w:val="35C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F4978"/>
    <w:multiLevelType w:val="multilevel"/>
    <w:tmpl w:val="A36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62340"/>
    <w:multiLevelType w:val="multilevel"/>
    <w:tmpl w:val="1C3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E6C80"/>
    <w:multiLevelType w:val="hybridMultilevel"/>
    <w:tmpl w:val="5D1EC2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CF2985"/>
    <w:multiLevelType w:val="multilevel"/>
    <w:tmpl w:val="1F8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47076">
    <w:abstractNumId w:val="7"/>
  </w:num>
  <w:num w:numId="2" w16cid:durableId="2126921340">
    <w:abstractNumId w:val="9"/>
  </w:num>
  <w:num w:numId="3" w16cid:durableId="1587497373">
    <w:abstractNumId w:val="14"/>
  </w:num>
  <w:num w:numId="4" w16cid:durableId="1022852927">
    <w:abstractNumId w:val="8"/>
  </w:num>
  <w:num w:numId="5" w16cid:durableId="2079741951">
    <w:abstractNumId w:val="13"/>
  </w:num>
  <w:num w:numId="6" w16cid:durableId="1003119690">
    <w:abstractNumId w:val="5"/>
  </w:num>
  <w:num w:numId="7" w16cid:durableId="2147045633">
    <w:abstractNumId w:val="4"/>
  </w:num>
  <w:num w:numId="8" w16cid:durableId="2009164304">
    <w:abstractNumId w:val="10"/>
  </w:num>
  <w:num w:numId="9" w16cid:durableId="938803983">
    <w:abstractNumId w:val="3"/>
  </w:num>
  <w:num w:numId="10" w16cid:durableId="711612168">
    <w:abstractNumId w:val="15"/>
  </w:num>
  <w:num w:numId="11" w16cid:durableId="2125076460">
    <w:abstractNumId w:val="2"/>
  </w:num>
  <w:num w:numId="12" w16cid:durableId="238364789">
    <w:abstractNumId w:val="12"/>
  </w:num>
  <w:num w:numId="13" w16cid:durableId="220362469">
    <w:abstractNumId w:val="11"/>
  </w:num>
  <w:num w:numId="14" w16cid:durableId="1978601681">
    <w:abstractNumId w:val="1"/>
  </w:num>
  <w:num w:numId="15" w16cid:durableId="852455573">
    <w:abstractNumId w:val="0"/>
  </w:num>
  <w:num w:numId="16" w16cid:durableId="810094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C7"/>
    <w:rsid w:val="000410C1"/>
    <w:rsid w:val="0009329B"/>
    <w:rsid w:val="000E28B6"/>
    <w:rsid w:val="00160001"/>
    <w:rsid w:val="0019718E"/>
    <w:rsid w:val="001D3C3E"/>
    <w:rsid w:val="00236FE3"/>
    <w:rsid w:val="00275F03"/>
    <w:rsid w:val="002B46F4"/>
    <w:rsid w:val="002C5BBF"/>
    <w:rsid w:val="00406179"/>
    <w:rsid w:val="00427A47"/>
    <w:rsid w:val="004419E4"/>
    <w:rsid w:val="00500F0F"/>
    <w:rsid w:val="005637AA"/>
    <w:rsid w:val="005649C7"/>
    <w:rsid w:val="00671A61"/>
    <w:rsid w:val="006E598F"/>
    <w:rsid w:val="00710444"/>
    <w:rsid w:val="00756BAC"/>
    <w:rsid w:val="00785F20"/>
    <w:rsid w:val="008032B3"/>
    <w:rsid w:val="00922E82"/>
    <w:rsid w:val="009356FB"/>
    <w:rsid w:val="00946068"/>
    <w:rsid w:val="0096542B"/>
    <w:rsid w:val="009C6548"/>
    <w:rsid w:val="009D112C"/>
    <w:rsid w:val="009F297F"/>
    <w:rsid w:val="00A11211"/>
    <w:rsid w:val="00A45ADE"/>
    <w:rsid w:val="00A818C5"/>
    <w:rsid w:val="00AF57E7"/>
    <w:rsid w:val="00B03D85"/>
    <w:rsid w:val="00B317A4"/>
    <w:rsid w:val="00B966EE"/>
    <w:rsid w:val="00C03CDB"/>
    <w:rsid w:val="00C31E07"/>
    <w:rsid w:val="00C93D06"/>
    <w:rsid w:val="00CB703D"/>
    <w:rsid w:val="00D17BE1"/>
    <w:rsid w:val="00D5106F"/>
    <w:rsid w:val="00D83315"/>
    <w:rsid w:val="00D90292"/>
    <w:rsid w:val="00DE16A5"/>
    <w:rsid w:val="00EA2864"/>
    <w:rsid w:val="00FA403B"/>
    <w:rsid w:val="00FC6E29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A8B79"/>
  <w15:chartTrackingRefBased/>
  <w15:docId w15:val="{A1350652-1C12-2640-BF8F-1D6E4B7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C7"/>
  </w:style>
  <w:style w:type="paragraph" w:styleId="Piedepgina">
    <w:name w:val="footer"/>
    <w:basedOn w:val="Normal"/>
    <w:link w:val="Piedepgina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C7"/>
  </w:style>
  <w:style w:type="paragraph" w:styleId="Textodeglobo">
    <w:name w:val="Balloon Text"/>
    <w:basedOn w:val="Normal"/>
    <w:link w:val="TextodegloboCar"/>
    <w:uiPriority w:val="99"/>
    <w:semiHidden/>
    <w:unhideWhenUsed/>
    <w:rsid w:val="0016000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00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A45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7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AFEC693A-5EEF-47D5-BA11-03BBA03BBA19}"/>
</file>

<file path=customXml/itemProps2.xml><?xml version="1.0" encoding="utf-8"?>
<ds:datastoreItem xmlns:ds="http://schemas.openxmlformats.org/officeDocument/2006/customXml" ds:itemID="{6D624354-98C2-400E-B1FA-0DD3D8F6B68A}"/>
</file>

<file path=customXml/itemProps3.xml><?xml version="1.0" encoding="utf-8"?>
<ds:datastoreItem xmlns:ds="http://schemas.openxmlformats.org/officeDocument/2006/customXml" ds:itemID="{29D57648-BD8B-4D13-9939-054D20771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Style</dc:creator>
  <cp:keywords/>
  <dc:description/>
  <cp:lastModifiedBy>JESUS SERVIN RAMOS</cp:lastModifiedBy>
  <cp:revision>31</cp:revision>
  <cp:lastPrinted>2023-06-27T16:17:00Z</cp:lastPrinted>
  <dcterms:created xsi:type="dcterms:W3CDTF">2018-12-11T02:10:00Z</dcterms:created>
  <dcterms:modified xsi:type="dcterms:W3CDTF">2023-10-19T17:59:00Z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</Properties>
</file>